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C4" w:rsidRDefault="00081DC4" w:rsidP="00081DC4">
      <w:pPr>
        <w:spacing w:after="0" w:line="240" w:lineRule="auto"/>
        <w:ind w:firstLine="709"/>
        <w:jc w:val="both"/>
      </w:pPr>
      <w:r>
        <w:t>Для замещения должности ведущий специалист-эксперт  устанавливаются базовые и профессионально-функциональные квалификационные требования: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а) наличие высшего образования не ниже уровня </w:t>
      </w:r>
      <w:proofErr w:type="spellStart"/>
      <w:r>
        <w:t>бакалавриата</w:t>
      </w:r>
      <w:proofErr w:type="spellEnd"/>
      <w:r>
        <w:t>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б) без предъявления требования к стажу;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в) наличие базовых знаний: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государственного языка Российской Федерации (русского языка);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 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г) наличие знаний и умений в области информационно-коммуникационных технологий в государственных органах.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   Профессионально-функциональные квалификационные требования: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а) наличие высшего образования по специальности, направлению подготовки: «Государственное и муниципальное управление», «Документоведение и архивоведение», «История», «Документоведение и документационное обеспечение управления»  «Информационные технологии», «Информатика и вычислительная техника», «Бизнес-информатика»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б) наличие профессиональных знаний в сфере законодательства Российской Федерации: </w:t>
      </w:r>
    </w:p>
    <w:p w:rsidR="00081DC4" w:rsidRDefault="00081DC4" w:rsidP="00081DC4">
      <w:pPr>
        <w:spacing w:after="0" w:line="240" w:lineRule="auto"/>
        <w:ind w:firstLine="709"/>
        <w:jc w:val="both"/>
      </w:pPr>
      <w:proofErr w:type="gramStart"/>
      <w:r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Налоговый кодекс Российской Федерации, Арбитражный процессуальный кодекс, Гражданский процессуальный кодекс, Кодекс административного судопроизводства, приказы и письма ФНС России по направлению деятельности отдела, а также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  <w:proofErr w:type="gramEnd"/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в) наличие иных профессиональных знаний: 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г) наличие профессиональных умений: </w:t>
      </w:r>
    </w:p>
    <w:p w:rsidR="00081DC4" w:rsidRDefault="00081DC4" w:rsidP="00081DC4">
      <w:pPr>
        <w:spacing w:after="0" w:line="240" w:lineRule="auto"/>
        <w:ind w:firstLine="709"/>
        <w:jc w:val="both"/>
      </w:pPr>
      <w:proofErr w:type="gramStart"/>
      <w: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t xml:space="preserve"> текстовом </w:t>
      </w:r>
      <w:proofErr w:type="gramStart"/>
      <w:r>
        <w:t>редакторе</w:t>
      </w:r>
      <w:proofErr w:type="gramEnd"/>
      <w: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Функциональные квалификационные требования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а) наличие функциональных знаний в сфере законодательства Российской Федерации: 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lastRenderedPageBreak/>
        <w:t>- централизованная и смешанная формы ведения делопроизводства;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система взаимодействия в рамках внутриведомственного и межведомственного электронного документооборота;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основы дипломатического этикета;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понятие, процедура рассмотрения обращений граждан;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порядок подготовки обоснования закупок;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порядок и особенности процедуры осуществления закупки у единственного поставщика (подрядчика, исполнителя);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этапы и порядок исполнения, изменения и расторжения контракта;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ответственность за нарушение законодательства о контрактной системе в сфере закупок.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б) наличие функциональных умений: 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подготовка аналитических, информационных и других материалов;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 планирование  закупок;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контроль осуществления закупок;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осуществление закупки у единственного поставщика (подрядчика, исполнителя);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исполнение государственных контрактов;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составление, заключение, изменение и расторжение контрактов;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подготовка планов закупок;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разработка технических заданий извещений и документаций об осуществлении закупок;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осуществление контроля в сфере закупок;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подготовка обоснования закупок;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реализация мероприятий по общественному обсуждению закупок;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определение начальной (максимальной) цены контракта, заключаемого с единственным поставщиком (подрядчиком, исполнителем);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- применение антидемпинговых мер при проведении закупок.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2. </w:t>
      </w:r>
      <w:proofErr w:type="gramStart"/>
      <w:r>
        <w:t>Время приема документов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081DC4" w:rsidRDefault="00081DC4" w:rsidP="00081DC4">
      <w:pPr>
        <w:spacing w:after="0" w:line="240" w:lineRule="auto"/>
        <w:ind w:firstLine="709"/>
        <w:jc w:val="both"/>
      </w:pPr>
      <w:proofErr w:type="gramStart"/>
      <w: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</w:t>
      </w:r>
      <w:r>
        <w:lastRenderedPageBreak/>
        <w:t>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t xml:space="preserve"> службе Российской Федерации» (Собрание законодательства Российской Федерации, 2018, № 12, ст. 1677).</w:t>
      </w:r>
    </w:p>
    <w:p w:rsidR="00081DC4" w:rsidRDefault="00081DC4" w:rsidP="00081DC4">
      <w:pPr>
        <w:spacing w:after="0" w:line="240" w:lineRule="auto"/>
        <w:ind w:firstLine="709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3. 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Гражданский служащий иного государственного органа,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личное заявление на имя руководителя Управления Федеральной налоговой службы по Сахалинской области  согласно Приложению;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документы, подтверждающие необходимое профессиональное образование, стаж работы и квалификацию: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документ об отсутствии у гражданина заболевания, препятствующего поступлению на гражданскую службу и ее прохождению (учетная форма № 001-ГС/у, утвержденная Министерством здравоохранения и социального развития Российской Федерации от 14.12.2009 № 984н);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 xml:space="preserve">копию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от 23.06.2014 № 460;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</w:t>
      </w:r>
      <w:r>
        <w:lastRenderedPageBreak/>
        <w:t>его идентифицировать, по форме, утвержденной Распоряжением Правительства РФ от 28.12.2016 № 2867-р;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копии документов воинского учета (для военнообязанных и лиц, подлежащих призыву на военную службу);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копию свидетельства о государственной регистрации акта гражданского состояния;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при наличии - документ, подтверждающий допу</w:t>
      </w:r>
      <w:proofErr w:type="gramStart"/>
      <w:r>
        <w:t>ск к св</w:t>
      </w:r>
      <w:proofErr w:type="gramEnd"/>
      <w:r>
        <w:t>едениям, составляющим государственную и иную охраняемую законом тайну;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</w:t>
      </w:r>
      <w:r>
        <w:tab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Достоверность сведений, представленных гражданином в ФНС России, в территориальный налоговый орган, подлежит проверке.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4. </w:t>
      </w:r>
      <w:proofErr w:type="gramStart"/>
      <w:r>
        <w:t>Не позднее, чем за 15 календарных дней до начала второго этапа конкурса Управление ФНС России по Сахалинской области размещает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направляет кандидатам</w:t>
      </w:r>
      <w:proofErr w:type="gramEnd"/>
      <w: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Второй этап конкурса проводится не позднее, чем через 30 календарных дней после дня завершения приема документов для участия в конкурсе.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Предполагаемая дата проведения второго этапа конкурса (индивидуальное собеседование): 14.05.2019.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 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5. На втором этапе осуществляется: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а) оценка профессиональных и личностных качеств кандидатов;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б) принятие решения конкурсной комиссией;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в) назначение на вакантную должность гражданской службы.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оценки. 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Обязательными методами оценки являются тестирование и индивидуальное собеседование.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lastRenderedPageBreak/>
        <w:t>6. Методы оценки: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6.1. Тестирование.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</w:t>
      </w:r>
      <w:proofErr w:type="gramStart"/>
      <w:r>
        <w:t>о-</w:t>
      </w:r>
      <w:proofErr w:type="gramEnd"/>
      <w:r>
        <w:t xml:space="preserve"> коммуникационных технологий;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аудитории, в которой проходит тестирование.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По результатам тестирования кандидатам выставляется: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5 баллов, если даны правильные ответы на 100 - 95 процентов вопросов;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4 балла, если даны правильные ответы на 94 - 89 процентов вопросов;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3 балла, если даны правильные ответы на 88 - 83 процента вопросов;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2 балла, если даны правильные ответы на 82 - 77 процентов вопросов;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1 балл, если даны правильные ответы на 76 — 70 процентов вопросов;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В целях самоподготовки кандидатам рекомендуется пройти предварительный тест </w:t>
      </w:r>
      <w:proofErr w:type="gramStart"/>
      <w:r>
        <w:t>вне рамок конкурса на соответствие базовым квалификационным требованиям для замещения должностей гражданской службы на сайте Минтруда России в рубрике</w:t>
      </w:r>
      <w:proofErr w:type="gramEnd"/>
      <w:r>
        <w:t xml:space="preserve"> «Образование»,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(http://gossluzhba.gov.ru)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            6.2. Индивидуальное собеседование.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6.3. Выполнение практического задания (написание реферата). Максимальный балл – 5 баллов,  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6.4. Анкетирование. 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Время проведения оценочных процедур устанавливается решением представителя нанимателя и доводится до кандидата отделом кадров и безопасности Управления.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7.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1DC4" w:rsidRDefault="00081DC4" w:rsidP="00081DC4">
      <w:pPr>
        <w:spacing w:after="0" w:line="240" w:lineRule="auto"/>
        <w:ind w:firstLine="709"/>
        <w:jc w:val="both"/>
      </w:pPr>
      <w:proofErr w:type="gramStart"/>
      <w: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081DC4" w:rsidRDefault="00081DC4" w:rsidP="00081DC4">
      <w:pPr>
        <w:spacing w:after="0" w:line="240" w:lineRule="auto"/>
        <w:ind w:firstLine="709"/>
        <w:jc w:val="both"/>
      </w:pPr>
      <w: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Конкурсной комиссией кандидаты, общая сумма набранных балов которых составляет не менее 50 процентов максимального бала,  могут рекомендоваться для включения в кадровый резерв для замещения должностей федеральной гражданской службы в Управлении Федеральной налоговой службы по Сахалинской области. 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8.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081DC4" w:rsidRDefault="00081DC4" w:rsidP="00081DC4">
      <w:pPr>
        <w:spacing w:after="0" w:line="240" w:lineRule="auto"/>
        <w:ind w:firstLine="709"/>
        <w:jc w:val="both"/>
      </w:pPr>
      <w:proofErr w:type="gramStart"/>
      <w:r>
        <w:lastRenderedPageBreak/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>
        <w:t xml:space="preserve"> должность гражданской службы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 xml:space="preserve">9. </w:t>
      </w:r>
      <w:proofErr w:type="gramStart"/>
      <w:r>
        <w:t xml:space="preserve">Кандидатам, участвовавшим в конкурсе, о результатах конкурса направляется сообщение в письменной форме в течение 7 дней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081DC4" w:rsidRDefault="00081DC4" w:rsidP="00081DC4">
      <w:pPr>
        <w:spacing w:after="0" w:line="240" w:lineRule="auto"/>
        <w:ind w:firstLine="709"/>
        <w:jc w:val="both"/>
      </w:pPr>
      <w:r>
        <w:t>Информация о результатах конкурса в этот же срок размещается на официальном сайте ФНС России и указанной информационной системы в сети «Интернет».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</w:t>
      </w:r>
      <w:bookmarkStart w:id="0" w:name="_GoBack"/>
      <w:bookmarkEnd w:id="0"/>
      <w:r>
        <w:t xml:space="preserve">, после чего подлежат удалению. </w:t>
      </w:r>
    </w:p>
    <w:p w:rsidR="00081DC4" w:rsidRDefault="00081DC4" w:rsidP="00081DC4">
      <w:pPr>
        <w:spacing w:after="0" w:line="240" w:lineRule="auto"/>
        <w:ind w:firstLine="709"/>
        <w:jc w:val="both"/>
      </w:pPr>
      <w:r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544344" w:rsidRDefault="00081DC4" w:rsidP="00081DC4">
      <w:pPr>
        <w:spacing w:after="0" w:line="240" w:lineRule="auto"/>
        <w:ind w:firstLine="709"/>
        <w:jc w:val="both"/>
      </w:pPr>
      <w:r>
        <w:t>11.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</w:t>
      </w:r>
    </w:p>
    <w:sectPr w:rsidR="0054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F9"/>
    <w:rsid w:val="00081DC4"/>
    <w:rsid w:val="000B7140"/>
    <w:rsid w:val="00E87F56"/>
    <w:rsid w:val="00F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3055</Words>
  <Characters>17420</Characters>
  <Application>Microsoft Office Word</Application>
  <DocSecurity>0</DocSecurity>
  <Lines>145</Lines>
  <Paragraphs>40</Paragraphs>
  <ScaleCrop>false</ScaleCrop>
  <Company/>
  <LinksUpToDate>false</LinksUpToDate>
  <CharactersWithSpaces>20435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2019-03-28T02:14:00Z</dcterms:created>
  <dcterms:modified xsi:type="dcterms:W3CDTF">2019-03-28T02:15:00Z</dcterms:modified>
</cp:coreProperties>
</file>